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8CA8" w14:textId="39FCE14F" w:rsidR="00176EC4" w:rsidRPr="00DA057C" w:rsidRDefault="00EF522C" w:rsidP="75D221D8">
      <w:pPr>
        <w:spacing w:line="360" w:lineRule="auto"/>
        <w:jc w:val="both"/>
        <w:rPr>
          <w:rFonts w:ascii="Arial" w:eastAsia="Arial Nova" w:hAnsi="Arial" w:cs="Arial"/>
          <w:sz w:val="40"/>
          <w:szCs w:val="40"/>
        </w:rPr>
      </w:pPr>
      <w:r w:rsidRPr="00EF522C">
        <w:rPr>
          <w:rFonts w:ascii="Arial" w:hAnsi="Arial" w:cs="Arial"/>
          <w:sz w:val="40"/>
        </w:rPr>
        <w:t>PÖTTINGER</w:t>
      </w:r>
      <w:r w:rsidR="003448EB" w:rsidRPr="00DA057C">
        <w:rPr>
          <w:rFonts w:ascii="Arial" w:hAnsi="Arial" w:cs="Arial"/>
          <w:sz w:val="40"/>
        </w:rPr>
        <w:t xml:space="preserve"> przedstawia nową, krótką kombinację FOX 3000 D</w:t>
      </w:r>
    </w:p>
    <w:p w14:paraId="6A99BB74" w14:textId="4798A0F6" w:rsidR="00C953B5" w:rsidRPr="00DA057C" w:rsidRDefault="671435EC" w:rsidP="75D221D8">
      <w:pPr>
        <w:spacing w:line="360" w:lineRule="auto"/>
        <w:jc w:val="both"/>
        <w:rPr>
          <w:rFonts w:ascii="Arial" w:eastAsia="Arial Nova" w:hAnsi="Arial" w:cs="Arial"/>
          <w:sz w:val="32"/>
          <w:szCs w:val="32"/>
        </w:rPr>
      </w:pPr>
      <w:r w:rsidRPr="00DA057C">
        <w:rPr>
          <w:rFonts w:ascii="Arial" w:hAnsi="Arial" w:cs="Arial"/>
          <w:sz w:val="32"/>
        </w:rPr>
        <w:t>Efektywne przygotowanie gleby do siewu dla uzyskania najlepszych efektów pracy</w:t>
      </w:r>
    </w:p>
    <w:p w14:paraId="713DFCDD" w14:textId="77777777" w:rsidR="006379A9" w:rsidRPr="00DA057C" w:rsidRDefault="006379A9" w:rsidP="75D221D8">
      <w:pPr>
        <w:spacing w:line="360" w:lineRule="auto"/>
        <w:jc w:val="both"/>
        <w:rPr>
          <w:rFonts w:ascii="Arial" w:hAnsi="Arial" w:cs="Arial"/>
        </w:rPr>
      </w:pPr>
    </w:p>
    <w:p w14:paraId="584710D8" w14:textId="691E851B" w:rsidR="00E71049" w:rsidRPr="00DA057C" w:rsidRDefault="00001577" w:rsidP="75D221D8">
      <w:pPr>
        <w:spacing w:line="360" w:lineRule="auto"/>
        <w:jc w:val="both"/>
        <w:rPr>
          <w:rFonts w:ascii="Arial" w:eastAsia="Arial Nova" w:hAnsi="Arial" w:cs="Arial"/>
        </w:rPr>
      </w:pPr>
      <w:r w:rsidRPr="00DA057C">
        <w:rPr>
          <w:rFonts w:ascii="Arial" w:hAnsi="Arial" w:cs="Arial"/>
        </w:rPr>
        <w:t xml:space="preserve">Każda gleba wymaga odpowiednio dostosowanych do niej metod uprawy oraz optymalnie dobranych maszyn, co pozwala na prowadzenie zrównoważonej gospodarki i osiąganie dobrych i stałych plonów na przestrzeni wielu lat. </w:t>
      </w:r>
      <w:r w:rsidR="00EF522C" w:rsidRPr="00EF522C">
        <w:rPr>
          <w:rFonts w:ascii="Arial" w:hAnsi="Arial" w:cs="Arial"/>
        </w:rPr>
        <w:t>PÖTTINGER</w:t>
      </w:r>
      <w:r w:rsidRPr="00DA057C">
        <w:rPr>
          <w:rFonts w:ascii="Arial" w:hAnsi="Arial" w:cs="Arial"/>
        </w:rPr>
        <w:t xml:space="preserve"> zmodyfikował krótkie kombinacje tak, aby praca nimi wymagała jeszcze mniejszej siły ciągu</w:t>
      </w:r>
      <w:r w:rsidR="00F47421" w:rsidRPr="00DA057C">
        <w:rPr>
          <w:rFonts w:ascii="Arial" w:hAnsi="Arial" w:cs="Arial"/>
        </w:rPr>
        <w:t xml:space="preserve"> i </w:t>
      </w:r>
      <w:r w:rsidRPr="00DA057C">
        <w:rPr>
          <w:rFonts w:ascii="Arial" w:hAnsi="Arial" w:cs="Arial"/>
        </w:rPr>
        <w:t xml:space="preserve">koszty paliwa były niższe. Konstrukcja FOX 3000 D jest bardziej uporządkowana, a smukły i stabilny kozioł zawieszenia poprawia widok na całą maszynę. Nowa, hydrauliczna regulacja głębokości pracy - dostępna jako opcja - zwiększa komfort obsługi. W kombinacji z siewnikami PÖTTINGER powstaje lekki w uciągu, ekonomiczny zestaw uprawowo-siewny. </w:t>
      </w:r>
    </w:p>
    <w:p w14:paraId="68C5A962" w14:textId="77777777" w:rsidR="00176EC4" w:rsidRPr="00DA057C" w:rsidRDefault="00176EC4" w:rsidP="75D221D8">
      <w:pPr>
        <w:spacing w:line="360" w:lineRule="auto"/>
        <w:jc w:val="both"/>
        <w:rPr>
          <w:rFonts w:ascii="Arial" w:eastAsia="Arial Nova" w:hAnsi="Arial" w:cs="Arial"/>
          <w:b/>
          <w:bCs/>
        </w:rPr>
      </w:pPr>
    </w:p>
    <w:p w14:paraId="4E5F5372" w14:textId="77777777" w:rsidR="00E71049" w:rsidRPr="00DA057C" w:rsidRDefault="00E71049" w:rsidP="75D221D8">
      <w:pPr>
        <w:spacing w:line="360" w:lineRule="auto"/>
        <w:jc w:val="both"/>
        <w:rPr>
          <w:rFonts w:ascii="Arial" w:eastAsia="Arial Nova" w:hAnsi="Arial" w:cs="Arial"/>
          <w:b/>
          <w:bCs/>
        </w:rPr>
      </w:pPr>
      <w:r w:rsidRPr="00DA057C">
        <w:rPr>
          <w:rFonts w:ascii="Arial" w:hAnsi="Arial" w:cs="Arial"/>
          <w:b/>
        </w:rPr>
        <w:t>Najlepsze efekty pracy</w:t>
      </w:r>
    </w:p>
    <w:p w14:paraId="198881E2" w14:textId="5CA87AFD" w:rsidR="00B03108" w:rsidRPr="00DA057C" w:rsidRDefault="3F801D86" w:rsidP="75D221D8">
      <w:pPr>
        <w:spacing w:line="360" w:lineRule="auto"/>
        <w:jc w:val="both"/>
        <w:rPr>
          <w:rFonts w:ascii="Arial" w:eastAsia="Arial Nova" w:hAnsi="Arial" w:cs="Arial"/>
        </w:rPr>
      </w:pPr>
      <w:r w:rsidRPr="00DA057C">
        <w:rPr>
          <w:rFonts w:ascii="Arial" w:hAnsi="Arial" w:cs="Arial"/>
        </w:rPr>
        <w:t>Znakiem firmowym naszej krótkiej kombinacji FOX 3000 D jest jej krótka, zwarta budowa. Lekka konstrukcja współpracująca z mniejszymi ciągnikami o mocy od 80 KM,  zapewnia wysoką wydajno</w:t>
      </w:r>
      <w:r w:rsidR="00F47421" w:rsidRPr="00DA057C">
        <w:rPr>
          <w:rFonts w:ascii="Arial" w:hAnsi="Arial" w:cs="Arial"/>
        </w:rPr>
        <w:t>ść</w:t>
      </w:r>
      <w:r w:rsidRPr="00DA057C">
        <w:rPr>
          <w:rFonts w:ascii="Arial" w:hAnsi="Arial" w:cs="Arial"/>
        </w:rPr>
        <w:t xml:space="preserve"> pracy na hektar oraz optymalne przygotowanie łoża siewnego.</w:t>
      </w:r>
    </w:p>
    <w:p w14:paraId="7320657B" w14:textId="6DC34F6C" w:rsidR="3F801D86" w:rsidRPr="00DA057C" w:rsidRDefault="3F801D86" w:rsidP="75D221D8">
      <w:pPr>
        <w:spacing w:line="360" w:lineRule="auto"/>
        <w:jc w:val="both"/>
        <w:rPr>
          <w:rFonts w:ascii="Arial" w:eastAsia="Arial Nova" w:hAnsi="Arial" w:cs="Arial"/>
        </w:rPr>
      </w:pPr>
      <w:r w:rsidRPr="00DA057C">
        <w:rPr>
          <w:rFonts w:ascii="Arial" w:hAnsi="Arial" w:cs="Arial"/>
        </w:rPr>
        <w:t>Obracające się talerze o średnicy 410 mm potrzebują mniejszej siły ciągu i przez to zużywają mniej paliwa. Dzięki kombinacji odpowiedniego kąta ustawienia oraz nachylenia talerzy, gleba jest intensywnie spulchniana, mieszana i wyrównywana.</w:t>
      </w:r>
    </w:p>
    <w:p w14:paraId="0722835B" w14:textId="50A86D07" w:rsidR="3F801D86" w:rsidRPr="00DA057C" w:rsidRDefault="3F801D86" w:rsidP="75D221D8">
      <w:pPr>
        <w:spacing w:line="360" w:lineRule="auto"/>
        <w:jc w:val="both"/>
        <w:rPr>
          <w:rFonts w:ascii="Arial" w:eastAsia="Arial Nova" w:hAnsi="Arial" w:cs="Arial"/>
        </w:rPr>
      </w:pPr>
      <w:r w:rsidRPr="00DA057C">
        <w:rPr>
          <w:rFonts w:ascii="Arial" w:hAnsi="Arial" w:cs="Arial"/>
        </w:rPr>
        <w:t xml:space="preserve">Talerze są ułożone w przeciwnych kierunkach od pierwszego do drugiego rzędu. Daje to gwarancję wysokiej jakości pracy. Duży rozstaw belek wynoszący 510 mm pozwala na bardzo dobry przepływ, nawet przy większej ilości materii organicznej. </w:t>
      </w:r>
      <w:r w:rsidR="00EE7D38" w:rsidRPr="00DA057C">
        <w:rPr>
          <w:rFonts w:ascii="Arial" w:hAnsi="Arial" w:cs="Arial"/>
        </w:rPr>
        <w:t>Dostępna</w:t>
      </w:r>
      <w:r w:rsidR="008D5A43" w:rsidRPr="00DA057C">
        <w:rPr>
          <w:rFonts w:ascii="Arial" w:hAnsi="Arial" w:cs="Arial"/>
        </w:rPr>
        <w:t xml:space="preserve"> </w:t>
      </w:r>
      <w:r w:rsidR="00EE7D38" w:rsidRPr="00DA057C">
        <w:rPr>
          <w:rFonts w:ascii="Arial" w:hAnsi="Arial" w:cs="Arial"/>
        </w:rPr>
        <w:t xml:space="preserve">opcja spulchniacza </w:t>
      </w:r>
      <w:r w:rsidRPr="00DA057C">
        <w:rPr>
          <w:rFonts w:ascii="Arial" w:hAnsi="Arial" w:cs="Arial"/>
        </w:rPr>
        <w:t>śladów zapewnia całkowite spulchnienie śladów ciągnika i umożliwia doskonałe mieszanie na stałej głębokości roboczej.</w:t>
      </w:r>
    </w:p>
    <w:p w14:paraId="33DC88F0" w14:textId="77777777" w:rsidR="00E71049" w:rsidRPr="00DA057C" w:rsidRDefault="00E71049" w:rsidP="75D221D8">
      <w:pPr>
        <w:spacing w:line="360" w:lineRule="auto"/>
        <w:jc w:val="both"/>
        <w:rPr>
          <w:rFonts w:ascii="Arial" w:eastAsia="Arial Nova" w:hAnsi="Arial" w:cs="Arial"/>
        </w:rPr>
      </w:pPr>
    </w:p>
    <w:p w14:paraId="3FE6F60A" w14:textId="77777777" w:rsidR="00EF522C" w:rsidRDefault="00EF522C" w:rsidP="75D221D8">
      <w:pPr>
        <w:spacing w:line="360" w:lineRule="auto"/>
        <w:jc w:val="both"/>
        <w:rPr>
          <w:rFonts w:ascii="Arial" w:hAnsi="Arial" w:cs="Arial"/>
          <w:b/>
        </w:rPr>
      </w:pPr>
    </w:p>
    <w:p w14:paraId="3D3F93E1" w14:textId="52E54077" w:rsidR="00E71049" w:rsidRPr="00DA057C" w:rsidRDefault="00E71049" w:rsidP="75D221D8">
      <w:pPr>
        <w:spacing w:line="360" w:lineRule="auto"/>
        <w:jc w:val="both"/>
        <w:rPr>
          <w:rFonts w:ascii="Arial" w:eastAsia="Arial Nova" w:hAnsi="Arial" w:cs="Arial"/>
          <w:b/>
          <w:bCs/>
        </w:rPr>
      </w:pPr>
      <w:r w:rsidRPr="00DA057C">
        <w:rPr>
          <w:rFonts w:ascii="Arial" w:hAnsi="Arial" w:cs="Arial"/>
          <w:b/>
        </w:rPr>
        <w:lastRenderedPageBreak/>
        <w:t>Lekka w uciągu i oszczędna w zużyciu paliwa</w:t>
      </w:r>
    </w:p>
    <w:p w14:paraId="68879F5C" w14:textId="686B76FD" w:rsidR="111CC730" w:rsidRPr="00DA057C" w:rsidRDefault="111CC730" w:rsidP="75D221D8">
      <w:pPr>
        <w:spacing w:line="360" w:lineRule="auto"/>
        <w:jc w:val="both"/>
        <w:rPr>
          <w:rFonts w:ascii="Arial" w:eastAsia="Arial Nova" w:hAnsi="Arial" w:cs="Arial"/>
        </w:rPr>
      </w:pPr>
      <w:r w:rsidRPr="00DA057C">
        <w:rPr>
          <w:rFonts w:ascii="Arial" w:hAnsi="Arial" w:cs="Arial"/>
        </w:rPr>
        <w:t xml:space="preserve">Krótka kombinacja FOX 3000 D jest wszechstronna i może być stosowana na polach po orce lub </w:t>
      </w:r>
      <w:r w:rsidR="00EE7D38" w:rsidRPr="00DA057C">
        <w:rPr>
          <w:rFonts w:ascii="Arial" w:hAnsi="Arial" w:cs="Arial"/>
        </w:rPr>
        <w:t xml:space="preserve">w określonych warunkach pracy w </w:t>
      </w:r>
      <w:proofErr w:type="spellStart"/>
      <w:r w:rsidR="00EE7D38" w:rsidRPr="00DA057C">
        <w:rPr>
          <w:rFonts w:ascii="Arial" w:hAnsi="Arial" w:cs="Arial"/>
        </w:rPr>
        <w:t>mulcz</w:t>
      </w:r>
      <w:proofErr w:type="spellEnd"/>
      <w:r w:rsidRPr="00DA057C">
        <w:rPr>
          <w:rFonts w:ascii="Arial" w:hAnsi="Arial" w:cs="Arial"/>
        </w:rPr>
        <w:t xml:space="preserve">. Talerze sprawdzają się na polach o umiarkowanej zawartości materii organicznej. Mała średnica umożliwia obracanie się talerzy z dużymi prędkościami, co skutkuje intensywnym mieszaniem i odpowiednią strukturą gleby. Krótka i zwarta konstrukcja zapewnia optymalne umiejscowienie punktu ciężkości, również w połączeniu z siewnikami nabudowanymi Pöttinger. Pozwala to na osiągnięcie wyższych prędkości jazdy, lżejszą pracę i obniżenie kosztów. </w:t>
      </w:r>
    </w:p>
    <w:p w14:paraId="260FAB13" w14:textId="65863D9F" w:rsidR="5DF0B0E8" w:rsidRPr="00DA057C" w:rsidRDefault="5DF0B0E8" w:rsidP="75D221D8">
      <w:pPr>
        <w:spacing w:line="360" w:lineRule="auto"/>
        <w:jc w:val="both"/>
        <w:rPr>
          <w:rFonts w:ascii="Arial" w:eastAsia="Arial Nova" w:hAnsi="Arial" w:cs="Arial"/>
        </w:rPr>
      </w:pPr>
    </w:p>
    <w:p w14:paraId="41F01EFB" w14:textId="3375121B" w:rsidR="111CC730" w:rsidRPr="00DA057C" w:rsidRDefault="111CC730" w:rsidP="75D221D8">
      <w:pPr>
        <w:spacing w:line="360" w:lineRule="auto"/>
        <w:jc w:val="both"/>
        <w:rPr>
          <w:rFonts w:ascii="Arial" w:eastAsia="Arial Nova" w:hAnsi="Arial" w:cs="Arial"/>
        </w:rPr>
      </w:pPr>
      <w:r w:rsidRPr="00DA057C">
        <w:rPr>
          <w:rFonts w:ascii="Arial" w:hAnsi="Arial" w:cs="Arial"/>
        </w:rPr>
        <w:t>Dzięki niewielkiemu zużyciu paliwa oraz kompaktowej budowie krótka kombinacja FOX 3000 D jest niezwykle ekonomiczną i wszechstronną konstrukcją</w:t>
      </w:r>
      <w:r w:rsidR="00EF522C">
        <w:rPr>
          <w:rFonts w:ascii="Arial" w:hAnsi="Arial" w:cs="Arial"/>
        </w:rPr>
        <w:t>.</w:t>
      </w:r>
    </w:p>
    <w:p w14:paraId="4A432589" w14:textId="77777777" w:rsidR="00347A84" w:rsidRPr="00DA057C" w:rsidRDefault="00347A84" w:rsidP="005808A5">
      <w:pPr>
        <w:spacing w:line="360" w:lineRule="auto"/>
        <w:ind w:right="283"/>
        <w:rPr>
          <w:rFonts w:ascii="Arial" w:hAnsi="Arial" w:cs="Arial"/>
          <w:b/>
        </w:rPr>
      </w:pPr>
    </w:p>
    <w:p w14:paraId="4C31AF47" w14:textId="4312FB65" w:rsidR="005808A5" w:rsidRPr="00DA057C" w:rsidRDefault="005808A5" w:rsidP="005808A5">
      <w:pPr>
        <w:spacing w:line="360" w:lineRule="auto"/>
        <w:ind w:right="283"/>
        <w:rPr>
          <w:rFonts w:ascii="Arial" w:hAnsi="Arial" w:cs="Arial"/>
          <w:b/>
        </w:rPr>
      </w:pPr>
      <w:r w:rsidRPr="00DA057C">
        <w:rPr>
          <w:rFonts w:ascii="Arial" w:hAnsi="Arial" w:cs="Arial"/>
          <w:b/>
        </w:rPr>
        <w:t>Podgląd zdjęć: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073C" w:rsidRPr="00DA057C" w14:paraId="2A26AEDB" w14:textId="77777777" w:rsidTr="00347A84">
        <w:tc>
          <w:tcPr>
            <w:tcW w:w="4575" w:type="dxa"/>
          </w:tcPr>
          <w:p w14:paraId="03C10DE3" w14:textId="058D041B" w:rsidR="005808A5" w:rsidRPr="00DA057C" w:rsidRDefault="00DC1924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6C7790" wp14:editId="68F8B237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111125</wp:posOffset>
                  </wp:positionV>
                  <wp:extent cx="1460500" cy="1095375"/>
                  <wp:effectExtent l="0" t="0" r="6350" b="9525"/>
                  <wp:wrapNone/>
                  <wp:docPr id="24729988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3E6B8C" w14:textId="7137CBE3" w:rsidR="005808A5" w:rsidRPr="00DA057C" w:rsidRDefault="005808A5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15B0A889" w14:textId="32DE3E6B" w:rsidR="005808A5" w:rsidRDefault="005808A5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6AEDE15A" w14:textId="77777777" w:rsidR="00672778" w:rsidRPr="00DA057C" w:rsidRDefault="00672778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353E5EF8" w14:textId="250D107F" w:rsidR="005808A5" w:rsidRPr="00DA057C" w:rsidRDefault="005808A5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34CE29B6" w14:textId="77777777" w:rsidR="005808A5" w:rsidRPr="00DA057C" w:rsidRDefault="005808A5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487" w:type="dxa"/>
          </w:tcPr>
          <w:p w14:paraId="6422E7E2" w14:textId="5964C882" w:rsidR="005808A5" w:rsidRPr="00DA057C" w:rsidRDefault="00672778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A6D0802" wp14:editId="30BE93F5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140970</wp:posOffset>
                  </wp:positionV>
                  <wp:extent cx="1540172" cy="1028065"/>
                  <wp:effectExtent l="0" t="0" r="3175" b="635"/>
                  <wp:wrapNone/>
                  <wp:docPr id="185626427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172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E073C" w:rsidRPr="00DA057C" w14:paraId="7D43828B" w14:textId="77777777" w:rsidTr="00347A84">
        <w:tc>
          <w:tcPr>
            <w:tcW w:w="4575" w:type="dxa"/>
          </w:tcPr>
          <w:p w14:paraId="290ED4A9" w14:textId="3130E0F4" w:rsidR="005808A5" w:rsidRPr="00DA057C" w:rsidRDefault="005808A5" w:rsidP="00B91B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057C">
              <w:rPr>
                <w:rFonts w:ascii="Arial" w:hAnsi="Arial" w:cs="Arial"/>
                <w:sz w:val="22"/>
              </w:rPr>
              <w:t>FOX 3000 D: Ekonomiczna i kompaktowa krótka kombinacja</w:t>
            </w:r>
          </w:p>
        </w:tc>
        <w:tc>
          <w:tcPr>
            <w:tcW w:w="4487" w:type="dxa"/>
          </w:tcPr>
          <w:p w14:paraId="39012DB6" w14:textId="63E4C02F" w:rsidR="005808A5" w:rsidRPr="00DA057C" w:rsidRDefault="00347A84" w:rsidP="00B91B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057C">
              <w:rPr>
                <w:rFonts w:ascii="Arial" w:hAnsi="Arial" w:cs="Arial"/>
                <w:sz w:val="22"/>
              </w:rPr>
              <w:t>Najlepsze wyniki pracy w przygotowaniu gleby do siewu z FOX 3000 D</w:t>
            </w:r>
          </w:p>
        </w:tc>
      </w:tr>
      <w:tr w:rsidR="005808A5" w:rsidRPr="00DA057C" w14:paraId="06E6F041" w14:textId="77777777" w:rsidTr="00347A84">
        <w:trPr>
          <w:trHeight w:val="60"/>
        </w:trPr>
        <w:tc>
          <w:tcPr>
            <w:tcW w:w="4575" w:type="dxa"/>
          </w:tcPr>
          <w:p w14:paraId="2B1B5865" w14:textId="5C22A2A7" w:rsidR="005808A5" w:rsidRPr="00DA057C" w:rsidRDefault="00EF522C" w:rsidP="00B91B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</w:rPr>
            </w:pPr>
            <w:hyperlink r:id="rId11" w:history="1">
              <w:r w:rsidR="00CE6A62" w:rsidRPr="004D5D1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https://www.poettinger.at/de_at/newsroom/pressebild/153763</w:t>
              </w:r>
            </w:hyperlink>
            <w:r w:rsidR="00CE6A62" w:rsidRPr="004D5D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87" w:type="dxa"/>
          </w:tcPr>
          <w:p w14:paraId="482D24BB" w14:textId="5712C143" w:rsidR="005808A5" w:rsidRPr="00DA057C" w:rsidRDefault="00EF522C" w:rsidP="00B91B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</w:rPr>
            </w:pPr>
            <w:hyperlink r:id="rId12" w:history="1">
              <w:r w:rsidR="00E7319D" w:rsidRPr="004D5D1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https://www.poettinger.at/de_at/newsroom/pressebild/153762</w:t>
              </w:r>
            </w:hyperlink>
            <w:r w:rsidR="00E7319D" w:rsidRPr="004D5D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31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49BAAAE" w14:textId="77777777" w:rsidR="005808A5" w:rsidRPr="00DA057C" w:rsidRDefault="005808A5" w:rsidP="005808A5">
      <w:p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bCs/>
          <w:sz w:val="20"/>
          <w:szCs w:val="20"/>
        </w:rPr>
      </w:pPr>
    </w:p>
    <w:p w14:paraId="42EFB079" w14:textId="2D4472A5" w:rsidR="005808A5" w:rsidRPr="00DA057C" w:rsidRDefault="005808A5" w:rsidP="005808A5">
      <w:p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bCs/>
        </w:rPr>
      </w:pPr>
      <w:r w:rsidRPr="00DA057C">
        <w:rPr>
          <w:rFonts w:ascii="Arial" w:hAnsi="Arial" w:cs="Arial"/>
        </w:rPr>
        <w:t>Pozostałe zdjęcia w jakości do druku:</w:t>
      </w:r>
      <w:r w:rsidR="00EF522C">
        <w:rPr>
          <w:rFonts w:ascii="Arial" w:hAnsi="Arial" w:cs="Arial"/>
        </w:rPr>
        <w:t xml:space="preserve"> </w:t>
      </w:r>
      <w:hyperlink r:id="rId13" w:history="1">
        <w:r w:rsidRPr="00DA057C">
          <w:rPr>
            <w:rStyle w:val="Hyperlink"/>
            <w:rFonts w:ascii="Arial" w:hAnsi="Arial" w:cs="Arial"/>
            <w:color w:val="auto"/>
          </w:rPr>
          <w:t>http://www.poettinger.at/presse</w:t>
        </w:r>
      </w:hyperlink>
    </w:p>
    <w:p w14:paraId="55417BA8" w14:textId="77777777" w:rsidR="005808A5" w:rsidRPr="00DA057C" w:rsidRDefault="005808A5" w:rsidP="75D221D8">
      <w:pPr>
        <w:spacing w:line="360" w:lineRule="auto"/>
        <w:jc w:val="both"/>
        <w:rPr>
          <w:rFonts w:ascii="Arial" w:eastAsia="Arial Nova" w:hAnsi="Arial" w:cs="Arial"/>
        </w:rPr>
      </w:pPr>
    </w:p>
    <w:p w14:paraId="4540A5C1" w14:textId="460F90F3" w:rsidR="5DF0B0E8" w:rsidRPr="00DA057C" w:rsidRDefault="5DF0B0E8" w:rsidP="75D221D8">
      <w:pPr>
        <w:spacing w:line="360" w:lineRule="auto"/>
        <w:jc w:val="both"/>
        <w:rPr>
          <w:rFonts w:ascii="Arial" w:eastAsia="Arial Nova" w:hAnsi="Arial" w:cs="Arial"/>
        </w:rPr>
      </w:pPr>
    </w:p>
    <w:sectPr w:rsidR="5DF0B0E8" w:rsidRPr="00DA057C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B015" w14:textId="77777777" w:rsidR="007F7BAA" w:rsidRDefault="007F7BAA" w:rsidP="00EC67DE">
      <w:r>
        <w:separator/>
      </w:r>
    </w:p>
  </w:endnote>
  <w:endnote w:type="continuationSeparator" w:id="0">
    <w:p w14:paraId="17C3D0E5" w14:textId="77777777" w:rsidR="007F7BAA" w:rsidRDefault="007F7BAA" w:rsidP="00EC67DE">
      <w:r>
        <w:continuationSeparator/>
      </w:r>
    </w:p>
  </w:endnote>
  <w:endnote w:type="continuationNotice" w:id="1">
    <w:p w14:paraId="6306A8EA" w14:textId="77777777" w:rsidR="007F7BAA" w:rsidRDefault="007F7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EA1C" w14:textId="77777777" w:rsidR="003C1577" w:rsidRDefault="003C1577" w:rsidP="003C1577">
    <w:pPr>
      <w:rPr>
        <w:rFonts w:ascii="Arial" w:hAnsi="Arial" w:cs="Arial"/>
        <w:b/>
        <w:sz w:val="18"/>
        <w:szCs w:val="18"/>
      </w:rPr>
    </w:pPr>
  </w:p>
  <w:p w14:paraId="266E24B4" w14:textId="56769BB2" w:rsidR="003C1577" w:rsidRPr="00935565" w:rsidRDefault="003C1577" w:rsidP="003C1577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</w:rPr>
      <w:t>PÖTTINGER Polska Sp. z o.o.</w:t>
    </w:r>
  </w:p>
  <w:p w14:paraId="6A82CDC0" w14:textId="77777777" w:rsidR="003C1577" w:rsidRPr="00935565" w:rsidRDefault="003C1577" w:rsidP="003C1577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Edyta Tyrakowska, ul. Skawińska 22, 61-333 Poznań</w:t>
    </w:r>
  </w:p>
  <w:p w14:paraId="095985E5" w14:textId="49F4FC0F" w:rsidR="00EC67DE" w:rsidRDefault="003C1577">
    <w:pPr>
      <w:pStyle w:val="Fuzeile"/>
    </w:pPr>
    <w:r>
      <w:rPr>
        <w:rFonts w:ascii="Arial" w:hAnsi="Arial"/>
        <w:sz w:val="18"/>
      </w:rPr>
      <w:t xml:space="preserve">Tel.: +48 603 770 957, E-Mail: </w:t>
    </w:r>
    <w:hyperlink r:id="rId1" w:history="1">
      <w:r>
        <w:rPr>
          <w:rFonts w:ascii="Arial" w:hAnsi="Arial"/>
          <w:sz w:val="18"/>
        </w:rPr>
        <w:t>edyta.tyrakowska@poettinger.at</w:t>
      </w:r>
    </w:hyperlink>
    <w:r>
      <w:rPr>
        <w:rFonts w:ascii="Arial" w:hAnsi="Arial"/>
        <w:sz w:val="18"/>
      </w:rPr>
      <w:t xml:space="preserve">, </w:t>
    </w:r>
    <w:hyperlink r:id="rId2" w:history="1">
      <w:r>
        <w:rPr>
          <w:rFonts w:ascii="Arial" w:hAnsi="Arial"/>
          <w:sz w:val="18"/>
        </w:rPr>
        <w:t>www.poettinger.at_pl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6ADE" w14:textId="77777777" w:rsidR="007F7BAA" w:rsidRDefault="007F7BAA" w:rsidP="00EC67DE">
      <w:r>
        <w:separator/>
      </w:r>
    </w:p>
  </w:footnote>
  <w:footnote w:type="continuationSeparator" w:id="0">
    <w:p w14:paraId="6C257652" w14:textId="77777777" w:rsidR="007F7BAA" w:rsidRDefault="007F7BAA" w:rsidP="00EC67DE">
      <w:r>
        <w:continuationSeparator/>
      </w:r>
    </w:p>
  </w:footnote>
  <w:footnote w:type="continuationNotice" w:id="1">
    <w:p w14:paraId="4D95460E" w14:textId="77777777" w:rsidR="007F7BAA" w:rsidRDefault="007F7B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FCA6" w14:textId="543022D1" w:rsidR="009A2F43" w:rsidRDefault="009A2F43" w:rsidP="00EC67DE">
    <w:pPr>
      <w:tabs>
        <w:tab w:val="left" w:pos="8265"/>
      </w:tabs>
      <w:rPr>
        <w:rFonts w:ascii="Arial" w:hAnsi="Arial" w:cs="Arial"/>
        <w:b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8240" behindDoc="0" locked="0" layoutInCell="1" allowOverlap="1" wp14:anchorId="55462958" wp14:editId="7E40E13D">
          <wp:simplePos x="0" y="0"/>
          <wp:positionH relativeFrom="column">
            <wp:posOffset>3369310</wp:posOffset>
          </wp:positionH>
          <wp:positionV relativeFrom="paragraph">
            <wp:posOffset>92230</wp:posOffset>
          </wp:positionV>
          <wp:extent cx="2186305" cy="228600"/>
          <wp:effectExtent l="0" t="0" r="4445" b="0"/>
          <wp:wrapNone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E8E0AD" w14:textId="50868884" w:rsidR="00EC67DE" w:rsidRDefault="00EC67DE" w:rsidP="00EC67DE">
    <w:pPr>
      <w:tabs>
        <w:tab w:val="left" w:pos="8265"/>
      </w:tabs>
      <w:rPr>
        <w:rFonts w:ascii="Arial" w:hAnsi="Arial" w:cs="Arial"/>
        <w:b/>
      </w:rPr>
    </w:pPr>
    <w:r>
      <w:rPr>
        <w:rFonts w:ascii="Arial" w:hAnsi="Arial"/>
        <w:b/>
      </w:rPr>
      <w:t xml:space="preserve">Informacja prasowa                  </w:t>
    </w:r>
  </w:p>
  <w:p w14:paraId="5890926C" w14:textId="77777777" w:rsidR="003C1577" w:rsidRDefault="003C1577" w:rsidP="009A2F43">
    <w:pPr>
      <w:pStyle w:val="Kopfzeile"/>
      <w:tabs>
        <w:tab w:val="clear" w:pos="4536"/>
        <w:tab w:val="clear" w:pos="9072"/>
        <w:tab w:val="left" w:pos="7166"/>
      </w:tabs>
    </w:pPr>
  </w:p>
  <w:p w14:paraId="48708759" w14:textId="27508F27" w:rsidR="00EC67DE" w:rsidRDefault="009A2F43" w:rsidP="009A2F43">
    <w:pPr>
      <w:pStyle w:val="Kopfzeile"/>
      <w:tabs>
        <w:tab w:val="clear" w:pos="4536"/>
        <w:tab w:val="clear" w:pos="9072"/>
        <w:tab w:val="left" w:pos="716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C4"/>
    <w:rsid w:val="00001577"/>
    <w:rsid w:val="000E2D61"/>
    <w:rsid w:val="0010640B"/>
    <w:rsid w:val="00176EC4"/>
    <w:rsid w:val="00277509"/>
    <w:rsid w:val="00292269"/>
    <w:rsid w:val="002E073C"/>
    <w:rsid w:val="003448EB"/>
    <w:rsid w:val="00347A84"/>
    <w:rsid w:val="003806E9"/>
    <w:rsid w:val="00386240"/>
    <w:rsid w:val="003C1577"/>
    <w:rsid w:val="004F780A"/>
    <w:rsid w:val="005808A5"/>
    <w:rsid w:val="006379A9"/>
    <w:rsid w:val="00663483"/>
    <w:rsid w:val="00672778"/>
    <w:rsid w:val="006B5CDA"/>
    <w:rsid w:val="006F1429"/>
    <w:rsid w:val="00791E95"/>
    <w:rsid w:val="007C0BDC"/>
    <w:rsid w:val="007F7BAA"/>
    <w:rsid w:val="008D5A43"/>
    <w:rsid w:val="008E1DA6"/>
    <w:rsid w:val="00940F5F"/>
    <w:rsid w:val="00941219"/>
    <w:rsid w:val="00963A59"/>
    <w:rsid w:val="009A2F43"/>
    <w:rsid w:val="009B2B4A"/>
    <w:rsid w:val="00A5334E"/>
    <w:rsid w:val="00AE2049"/>
    <w:rsid w:val="00B03108"/>
    <w:rsid w:val="00B242B3"/>
    <w:rsid w:val="00B2568F"/>
    <w:rsid w:val="00B2598F"/>
    <w:rsid w:val="00B70D29"/>
    <w:rsid w:val="00C30764"/>
    <w:rsid w:val="00C63F0A"/>
    <w:rsid w:val="00C846EC"/>
    <w:rsid w:val="00C953B5"/>
    <w:rsid w:val="00CE6A62"/>
    <w:rsid w:val="00D21FAE"/>
    <w:rsid w:val="00D37C92"/>
    <w:rsid w:val="00DA057C"/>
    <w:rsid w:val="00DB6582"/>
    <w:rsid w:val="00DC1924"/>
    <w:rsid w:val="00DE77CC"/>
    <w:rsid w:val="00E71049"/>
    <w:rsid w:val="00E7319D"/>
    <w:rsid w:val="00E86B38"/>
    <w:rsid w:val="00EC67DE"/>
    <w:rsid w:val="00EE64F4"/>
    <w:rsid w:val="00EE7D38"/>
    <w:rsid w:val="00EF1F84"/>
    <w:rsid w:val="00EF522C"/>
    <w:rsid w:val="00F47421"/>
    <w:rsid w:val="00F95B92"/>
    <w:rsid w:val="00FA6152"/>
    <w:rsid w:val="00FE3884"/>
    <w:rsid w:val="00FF0489"/>
    <w:rsid w:val="03A4F81B"/>
    <w:rsid w:val="077209B3"/>
    <w:rsid w:val="086A6864"/>
    <w:rsid w:val="0CA0B156"/>
    <w:rsid w:val="0D37A1BC"/>
    <w:rsid w:val="0ECA9924"/>
    <w:rsid w:val="111CC730"/>
    <w:rsid w:val="15954CAA"/>
    <w:rsid w:val="222075D1"/>
    <w:rsid w:val="2A39C60D"/>
    <w:rsid w:val="2BC5666F"/>
    <w:rsid w:val="314A4798"/>
    <w:rsid w:val="36DF19E4"/>
    <w:rsid w:val="3E804736"/>
    <w:rsid w:val="3F801D86"/>
    <w:rsid w:val="3FAD6A15"/>
    <w:rsid w:val="40AC5DBD"/>
    <w:rsid w:val="4437B6B3"/>
    <w:rsid w:val="466151E7"/>
    <w:rsid w:val="4A4AB29F"/>
    <w:rsid w:val="527BBF69"/>
    <w:rsid w:val="5A92D86B"/>
    <w:rsid w:val="5DF0B0E8"/>
    <w:rsid w:val="5EFE6229"/>
    <w:rsid w:val="671435EC"/>
    <w:rsid w:val="688AE832"/>
    <w:rsid w:val="695E3FBA"/>
    <w:rsid w:val="6C9783C6"/>
    <w:rsid w:val="70903729"/>
    <w:rsid w:val="7382C608"/>
    <w:rsid w:val="746355A7"/>
    <w:rsid w:val="75D221D8"/>
    <w:rsid w:val="79287271"/>
    <w:rsid w:val="7BD7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8CE6"/>
  <w15:chartTrackingRefBased/>
  <w15:docId w15:val="{713AAD1F-B6A0-A940-BEF0-E729DB6F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76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6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6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6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6E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6E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6E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6E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6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6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6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6EC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6EC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6EC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6EC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6EC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6E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76E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6E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6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76E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76EC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76EC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76EC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6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6EC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76EC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C67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67DE"/>
  </w:style>
  <w:style w:type="paragraph" w:styleId="Fuzeile">
    <w:name w:val="footer"/>
    <w:basedOn w:val="Standard"/>
    <w:link w:val="FuzeileZchn"/>
    <w:uiPriority w:val="99"/>
    <w:unhideWhenUsed/>
    <w:rsid w:val="00EC67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67DE"/>
  </w:style>
  <w:style w:type="character" w:styleId="Hyperlink">
    <w:name w:val="Hyperlink"/>
    <w:basedOn w:val="Absatz-Standardschriftart"/>
    <w:rsid w:val="005808A5"/>
    <w:rPr>
      <w:color w:val="0000FF"/>
      <w:u w:val="single"/>
    </w:rPr>
  </w:style>
  <w:style w:type="table" w:styleId="Tabellenraster">
    <w:name w:val="Table Grid"/>
    <w:basedOn w:val="NormaleTabelle"/>
    <w:rsid w:val="005808A5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E7319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ettinger.at/press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poettinger.at/de_at/newsroom/pressebild/15376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ettinger.at/de_at/newsroom/pressebild/15376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edyta.tyrakowska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1DB37-8AEA-4401-AE22-3BE5A720C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160EA-0316-455C-84D6-05C3B657E6B0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3.xml><?xml version="1.0" encoding="utf-8"?>
<ds:datastoreItem xmlns:ds="http://schemas.openxmlformats.org/officeDocument/2006/customXml" ds:itemID="{FA5C0D88-D595-4DF9-A286-CAC5F4FF5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2584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Ecklmayr Johanna</dc:creator>
  <cp:keywords>FOX 3000 D</cp:keywords>
  <dc:description/>
  <cp:lastModifiedBy>Tyrakowska Edyta</cp:lastModifiedBy>
  <cp:revision>11</cp:revision>
  <dcterms:created xsi:type="dcterms:W3CDTF">2024-07-18T10:22:00Z</dcterms:created>
  <dcterms:modified xsi:type="dcterms:W3CDTF">2024-08-29T07:34:00Z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